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AAE" w:rsidRDefault="00002490" w:rsidP="00365AAE">
      <w:pPr>
        <w:widowControl/>
        <w:autoSpaceDE/>
        <w:autoSpaceDN/>
        <w:contextualSpacing/>
        <w:rPr>
          <w:rFonts w:asciiTheme="minorHAnsi" w:hAnsiTheme="minorHAnsi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8FD3C1" wp14:editId="0D0026FF">
                <wp:simplePos x="0" y="0"/>
                <wp:positionH relativeFrom="column">
                  <wp:posOffset>3857625</wp:posOffset>
                </wp:positionH>
                <wp:positionV relativeFrom="paragraph">
                  <wp:posOffset>6153150</wp:posOffset>
                </wp:positionV>
                <wp:extent cx="2371724" cy="962025"/>
                <wp:effectExtent l="0" t="19050" r="29210" b="47625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4" cy="96202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lt1">
                            <a:hueOff val="0"/>
                            <a:satOff val="0"/>
                            <a:lumOff val="0"/>
                            <a:alphaOff val="0"/>
                          </a:schemeClr>
                        </a:lnRef>
                        <a:fillRef idx="1">
                          <a:schemeClr val="accent1">
                            <a:hueOff val="0"/>
                            <a:satOff val="0"/>
                            <a:lumOff val="0"/>
                            <a:alphaOff val="0"/>
                          </a:schemeClr>
                        </a:fillRef>
                        <a:effectRef idx="0">
                          <a:schemeClr val="accent1">
                            <a:hueOff val="0"/>
                            <a:satOff val="0"/>
                            <a:lumOff val="0"/>
                            <a:alphaOff val="0"/>
                          </a:schemeClr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2490" w:rsidRPr="00002490" w:rsidRDefault="00002490" w:rsidP="00002490">
                            <w:pPr>
                              <w:jc w:val="center"/>
                              <w:rPr>
                                <w:rFonts w:asciiTheme="minorHAnsi" w:hAnsiTheme="minorHAnsi"/>
                                <w:sz w:val="56"/>
                                <w:szCs w:val="56"/>
                                <w:lang w:val="ka-GE"/>
                              </w:rPr>
                            </w:pPr>
                            <w:r w:rsidRPr="00002490">
                              <w:rPr>
                                <w:rFonts w:asciiTheme="minorHAnsi" w:hAnsiTheme="minorHAnsi"/>
                                <w:sz w:val="56"/>
                                <w:szCs w:val="56"/>
                                <w:lang w:val="ka-GE"/>
                              </w:rPr>
                              <w:t>92%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FD3C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303.75pt;margin-top:484.5pt;width:186.75pt;height:75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" adj="17219" fillcolor="#4f81bd [3204]" strokecolor="white [3201]" strokeweight="2pt">
                <v:textbox>
                  <w:txbxContent>
                    <w:p w:rsidR="00002490" w:rsidRPr="00002490" w:rsidRDefault="00002490" w:rsidP="00002490">
                      <w:pPr>
                        <w:jc w:val="center"/>
                        <w:rPr>
                          <w:rFonts w:asciiTheme="minorHAnsi" w:hAnsiTheme="minorHAnsi"/>
                          <w:sz w:val="56"/>
                          <w:szCs w:val="56"/>
                          <w:lang w:val="ka-GE"/>
                        </w:rPr>
                      </w:pPr>
                      <w:r w:rsidRPr="00002490">
                        <w:rPr>
                          <w:rFonts w:asciiTheme="minorHAnsi" w:hAnsiTheme="minorHAnsi"/>
                          <w:sz w:val="56"/>
                          <w:szCs w:val="56"/>
                          <w:lang w:val="ka-GE"/>
                        </w:rPr>
                        <w:t>92%</w:t>
                      </w:r>
                    </w:p>
                  </w:txbxContent>
                </v:textbox>
              </v:shape>
            </w:pict>
          </mc:Fallback>
        </mc:AlternateContent>
      </w:r>
      <w:r w:rsidR="00365AAE">
        <w:rPr>
          <w:rFonts w:asciiTheme="minorHAnsi" w:hAnsiTheme="minorHAnsi"/>
          <w:noProof/>
          <w:lang w:val="ka-GE"/>
        </w:rPr>
        <w:t xml:space="preserve">                                          </w:t>
      </w:r>
      <w:r w:rsidR="00365AAE">
        <w:rPr>
          <w:rFonts w:asciiTheme="minorHAnsi" w:hAnsiTheme="minorHAnsi"/>
          <w:noProof/>
        </w:rPr>
        <w:drawing>
          <wp:inline distT="0" distB="0" distL="0" distR="0" wp14:anchorId="72802A84" wp14:editId="39EC0ECD">
            <wp:extent cx="7486650" cy="952500"/>
            <wp:effectExtent l="19050" t="0" r="1905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  <w:bookmarkStart w:id="0" w:name="_GoBack"/>
      <w:bookmarkEnd w:id="0"/>
      <w:r w:rsidR="00365AAE">
        <w:rPr>
          <w:noProof/>
        </w:rPr>
        <w:drawing>
          <wp:anchor distT="0" distB="0" distL="114300" distR="114300" simplePos="0" relativeHeight="251659264" behindDoc="0" locked="0" layoutInCell="1" allowOverlap="1" wp14:anchorId="132A7812" wp14:editId="5F4D0E59">
            <wp:simplePos x="0" y="0"/>
            <wp:positionH relativeFrom="column">
              <wp:posOffset>314325</wp:posOffset>
            </wp:positionH>
            <wp:positionV relativeFrom="paragraph">
              <wp:posOffset>152400</wp:posOffset>
            </wp:positionV>
            <wp:extent cx="9096375" cy="5057775"/>
            <wp:effectExtent l="0" t="0" r="9525" b="9525"/>
            <wp:wrapSquare wrapText="bothSides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65AAE" w:rsidRPr="00365AAE" w:rsidRDefault="00365AAE" w:rsidP="00365AAE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65AAE">
        <w:rPr>
          <w:rFonts w:asciiTheme="minorHAnsi" w:hAnsiTheme="minorHAnsi"/>
          <w:lang w:val="ka-GE"/>
        </w:rPr>
        <w:t xml:space="preserve"> </w:t>
      </w:r>
      <w:r w:rsidRPr="00365AAE">
        <w:rPr>
          <w:rFonts w:ascii="Calibri" w:eastAsia="+mn-ea" w:hAnsi="Calibri" w:cs="+mn-cs"/>
          <w:color w:val="FFFFFF"/>
          <w:sz w:val="24"/>
          <w:szCs w:val="24"/>
          <w:lang w:val="ka-GE"/>
        </w:rPr>
        <w:t>2220%</w:t>
      </w:r>
    </w:p>
    <w:p w:rsidR="00866E80" w:rsidRPr="00365AAE" w:rsidRDefault="00866E80">
      <w:pPr>
        <w:rPr>
          <w:rFonts w:asciiTheme="minorHAnsi" w:hAnsiTheme="minorHAnsi"/>
          <w:lang w:val="ka-GE"/>
        </w:rPr>
      </w:pPr>
    </w:p>
    <w:sectPr w:rsidR="00866E80" w:rsidRPr="00365AAE" w:rsidSect="00454992">
      <w:pgSz w:w="15840" w:h="12240" w:orient="landscape"/>
      <w:pgMar w:top="270" w:right="540" w:bottom="144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eeSans">
    <w:altName w:val="Arial"/>
    <w:charset w:val="00"/>
    <w:family w:val="swiss"/>
    <w:pitch w:val="variable"/>
  </w:font>
  <w:font w:name="FreeSerif">
    <w:altName w:val="Times New Roman"/>
    <w:charset w:val="00"/>
    <w:family w:val="roman"/>
    <w:pitch w:val="variable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215F0"/>
    <w:multiLevelType w:val="hybridMultilevel"/>
    <w:tmpl w:val="AA3408E6"/>
    <w:lvl w:ilvl="0" w:tplc="E34696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672CA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3E5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7E0F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D34E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E285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705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654B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28AC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A1B17DB"/>
    <w:multiLevelType w:val="hybridMultilevel"/>
    <w:tmpl w:val="E3328906"/>
    <w:lvl w:ilvl="0" w:tplc="56A8D5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3E2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8E28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6D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C6F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3EE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B282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600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4A2B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02CA"/>
    <w:rsid w:val="00002490"/>
    <w:rsid w:val="00365AAE"/>
    <w:rsid w:val="00454992"/>
    <w:rsid w:val="006C6164"/>
    <w:rsid w:val="00866E80"/>
    <w:rsid w:val="008C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AB8252-7985-4AD1-919C-62618D379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FreeSans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C6164"/>
    <w:rPr>
      <w:rFonts w:ascii="FreeSans" w:hAnsi="FreeSans" w:cs="FreeSans"/>
    </w:rPr>
  </w:style>
  <w:style w:type="paragraph" w:styleId="Heading1">
    <w:name w:val="heading 1"/>
    <w:basedOn w:val="Normal"/>
    <w:link w:val="Heading1Char"/>
    <w:uiPriority w:val="1"/>
    <w:qFormat/>
    <w:rsid w:val="006C6164"/>
    <w:pPr>
      <w:ind w:left="388"/>
      <w:outlineLvl w:val="0"/>
    </w:pPr>
    <w:rPr>
      <w:rFonts w:ascii="FreeSerif" w:eastAsia="FreeSerif" w:hAnsi="FreeSerif" w:cs="FreeSeri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6C6164"/>
    <w:pPr>
      <w:spacing w:before="18"/>
      <w:jc w:val="center"/>
    </w:pPr>
    <w:rPr>
      <w:rFonts w:ascii="FreeSerif" w:eastAsia="FreeSerif" w:hAnsi="FreeSerif" w:cs="FreeSerif"/>
    </w:rPr>
  </w:style>
  <w:style w:type="character" w:customStyle="1" w:styleId="Heading1Char">
    <w:name w:val="Heading 1 Char"/>
    <w:basedOn w:val="DefaultParagraphFont"/>
    <w:link w:val="Heading1"/>
    <w:uiPriority w:val="1"/>
    <w:rsid w:val="006C6164"/>
    <w:rPr>
      <w:rFonts w:ascii="FreeSerif" w:eastAsia="FreeSerif" w:hAnsi="FreeSerif" w:cs="FreeSerif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6C6164"/>
    <w:pPr>
      <w:ind w:left="460"/>
    </w:pPr>
  </w:style>
  <w:style w:type="character" w:customStyle="1" w:styleId="BodyTextChar">
    <w:name w:val="Body Text Char"/>
    <w:basedOn w:val="DefaultParagraphFont"/>
    <w:link w:val="BodyText"/>
    <w:uiPriority w:val="1"/>
    <w:rsid w:val="006C6164"/>
    <w:rPr>
      <w:rFonts w:ascii="FreeSans" w:eastAsia="FreeSans" w:hAnsi="FreeSans" w:cs="FreeSans"/>
    </w:rPr>
  </w:style>
  <w:style w:type="paragraph" w:styleId="ListParagraph">
    <w:name w:val="List Paragraph"/>
    <w:basedOn w:val="Normal"/>
    <w:uiPriority w:val="1"/>
    <w:qFormat/>
    <w:rsid w:val="006C6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1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138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25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2954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fontTable" Target="fontTable.xml"/><Relationship Id="rId5" Type="http://schemas.openxmlformats.org/officeDocument/2006/relationships/diagramData" Target="diagrams/data1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cked"/>
        <c:varyColors val="0"/>
        <c:ser>
          <c:idx val="0"/>
          <c:order val="0"/>
          <c:tx>
            <c:strRef>
              <c:f>Sheet1!$A$1</c:f>
              <c:strCache>
                <c:ptCount val="1"/>
                <c:pt idx="0">
                  <c:v>სოციალურად დაუცველთა დინამიკა 2018-2022 წლები</c:v>
                </c:pt>
              </c:strCache>
            </c:strRef>
          </c:tx>
          <c:spPr>
            <a:ln w="25400" cap="rnd">
              <a:solidFill>
                <a:schemeClr val="lt1"/>
              </a:solidFill>
              <a:round/>
            </a:ln>
            <a:effectLst>
              <a:outerShdw dist="25400" dir="2700000" algn="tl" rotWithShape="0">
                <a:schemeClr val="accent1"/>
              </a:outerShdw>
            </a:effectLst>
          </c:spPr>
          <c:marker>
            <c:symbol val="none"/>
          </c:marker>
          <c:cat>
            <c:numRef>
              <c:f>Sheet1!$A$2:$A$6</c:f>
              <c:numCache>
                <c:formatCode>General</c:formatCode>
                <c:ptCount val="5"/>
                <c:pt idx="0">
                  <c:v>2018</c:v>
                </c:pt>
                <c:pt idx="1">
                  <c:v>2019</c:v>
                </c:pt>
                <c:pt idx="2">
                  <c:v>2020</c:v>
                </c:pt>
                <c:pt idx="3">
                  <c:v>2021</c:v>
                </c:pt>
                <c:pt idx="4">
                  <c:v>2022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12230</c:v>
                </c:pt>
                <c:pt idx="1">
                  <c:v>13371</c:v>
                </c:pt>
                <c:pt idx="2">
                  <c:v>17119</c:v>
                </c:pt>
                <c:pt idx="3">
                  <c:v>21452</c:v>
                </c:pt>
                <c:pt idx="4">
                  <c:v>23503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gradFill>
                <a:gsLst>
                  <a:gs pos="0">
                    <a:schemeClr val="lt1"/>
                  </a:gs>
                  <a:gs pos="100000">
                    <a:schemeClr val="lt1">
                      <a:alpha val="0"/>
                    </a:schemeClr>
                  </a:gs>
                </a:gsLst>
                <a:lin ang="5400000" scaled="0"/>
              </a:gradFill>
              <a:round/>
            </a:ln>
            <a:effectLst/>
          </c:spPr>
        </c:dropLines>
        <c:smooth val="0"/>
        <c:axId val="1730314192"/>
        <c:axId val="1730313648"/>
      </c:lineChart>
      <c:catAx>
        <c:axId val="1730314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3200" b="0" i="0" u="none" strike="noStrike" kern="1200" spc="3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30313648"/>
        <c:crosses val="autoZero"/>
        <c:auto val="1"/>
        <c:lblAlgn val="ctr"/>
        <c:lblOffset val="100"/>
        <c:noMultiLvlLbl val="0"/>
      </c:catAx>
      <c:valAx>
        <c:axId val="1730313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lt1">
                  <a:alpha val="2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30314192"/>
        <c:crossesAt val="1"/>
        <c:crossBetween val="between"/>
      </c:valAx>
      <c:spPr>
        <a:noFill/>
        <a:ln>
          <a:noFill/>
        </a:ln>
        <a:effectLst/>
      </c:spPr>
    </c:plotArea>
    <c:legend>
      <c:legendPos val="t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1400" b="1" i="0" u="none" strike="noStrike" kern="1200" baseline="0">
                <a:solidFill>
                  <a:schemeClr val="lt1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</c:legendEntry>
      <c:layout>
        <c:manualLayout>
          <c:xMode val="edge"/>
          <c:yMode val="edge"/>
          <c:x val="0.17155192756868695"/>
          <c:y val="1.509433962264151E-2"/>
          <c:w val="0.64007645259938839"/>
          <c:h val="9.276759273015400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chemeClr val="lt1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accent1"/>
    </a:solidFill>
    <a:ln w="9525" cap="flat" cmpd="sng" algn="ctr">
      <a:solidFill>
        <a:schemeClr val="lt1">
          <a:lumMod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38">
  <cs:axisTitle>
    <cs:lnRef idx="0"/>
    <cs:fillRef idx="0"/>
    <cs:effectRef idx="0"/>
    <cs:fontRef idx="minor">
      <a:schemeClr val="lt1"/>
    </cs:fontRef>
    <cs:defRPr sz="900" b="1" kern="1200"/>
  </cs:axisTitle>
  <cs:categoryAxis>
    <cs:lnRef idx="0">
      <cs:styleClr val="0"/>
    </cs:lnRef>
    <cs:fillRef idx="0"/>
    <cs:effectRef idx="0"/>
    <cs:fontRef idx="minor">
      <a:schemeClr val="lt1"/>
    </cs:fontRef>
    <cs:defRPr sz="900" kern="1200" spc="30" baseline="0"/>
  </cs:categoryAxis>
  <cs:chartArea>
    <cs:lnRef idx="0">
      <cs:styleClr val="0"/>
    </cs:lnRef>
    <cs:fillRef idx="0">
      <cs:styleClr val="0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lt1">
            <a:lumMod val="85000"/>
          </a:schemeClr>
        </a:solidFill>
        <a:round/>
      </a:ln>
    </cs:spPr>
    <cs:defRPr sz="1000" kern="1200"/>
  </cs:chartArea>
  <cs:dataLabel>
    <cs:lnRef idx="0"/>
    <cs:fillRef idx="0">
      <cs:styleClr val="0"/>
    </cs:fillRef>
    <cs:effectRef idx="0"/>
    <cs:fontRef idx="minor">
      <a:schemeClr val="lt1"/>
    </cs:fontRef>
    <cs:spPr>
      <a:solidFill>
        <a:schemeClr val="phClr"/>
      </a:solidFill>
    </cs:spPr>
    <cs:defRPr sz="900" b="1" kern="120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pattFill prst="ltUpDiag">
        <a:fgClr>
          <a:schemeClr val="phClr"/>
        </a:fgClr>
        <a:bgClr>
          <a:schemeClr val="lt1"/>
        </a:bgClr>
      </a:pattFill>
    </cs:spPr>
  </cs:dataPoint3D>
  <cs:dataPointLine>
    <cs:lnRef idx="0">
      <cs:styleClr val="auto"/>
    </cs:lnRef>
    <cs:fillRef idx="0"/>
    <cs:effectRef idx="0">
      <cs:styleClr val="auto"/>
    </cs:effectRef>
    <cs:fontRef idx="minor">
      <a:schemeClr val="dk1"/>
    </cs:fontRef>
    <cs:spPr>
      <a:ln w="25400" cap="rnd">
        <a:solidFill>
          <a:schemeClr val="lt1"/>
        </a:solidFill>
        <a:round/>
      </a:ln>
      <a:effectLst>
        <a:outerShdw dist="25400" dir="2700000" algn="tl" rotWithShape="0">
          <a:schemeClr val="phClr"/>
        </a:outerShdw>
      </a:effectLst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1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>
      <cs:styleClr val="0"/>
    </cs:lnRef>
    <cs:fillRef idx="0"/>
    <cs:effectRef idx="0"/>
    <cs:fontRef idx="minor">
      <a:schemeClr val="lt1"/>
    </cs:fontRef>
    <cs:spPr>
      <a:ln w="9525">
        <a:solidFill>
          <a:schemeClr val="phClr">
            <a:lumMod val="60000"/>
            <a:lumOff val="40000"/>
          </a:schemeClr>
        </a:solidFill>
      </a:ln>
    </cs:spPr>
    <cs:defRPr sz="900" kern="1200"/>
  </cs:dataTable>
  <cs:downBar>
    <cs:lnRef idx="0">
      <cs:styleClr val="0"/>
    </cs:lnRef>
    <cs:fillRef idx="0"/>
    <cs:effectRef idx="0"/>
    <cs:fontRef idx="minor">
      <a:schemeClr val="dk1"/>
    </cs:fontRef>
    <cs:spPr>
      <a:solidFill>
        <a:schemeClr val="dk1">
          <a:lumMod val="35000"/>
          <a:lumOff val="6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0">
              <a:schemeClr val="lt1"/>
            </a:gs>
            <a:gs pos="100000">
              <a:schemeClr val="lt1">
                <a:alpha val="0"/>
              </a:schemeClr>
            </a:gs>
          </a:gsLst>
          <a:lin ang="5400000" scaled="0"/>
        </a:gradFill>
        <a:round/>
      </a:ln>
    </cs:spPr>
  </cs:dropLine>
  <cs:errorBar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round/>
      </a:ln>
      <a:effectLst>
        <a:glow rad="25400">
          <a:schemeClr val="lt1"/>
        </a:glow>
      </a:effectLst>
    </cs:spPr>
  </cs:errorBar>
  <cs:floor>
    <cs:lnRef idx="0"/>
    <cs:fillRef idx="0"/>
    <cs:effectRef idx="0"/>
    <cs:fontRef idx="minor">
      <a:schemeClr val="dk1"/>
    </cs:fontRef>
  </cs:floor>
  <cs:gridlineMajor>
    <cs:lnRef idx="0">
      <cs:styleClr val="0"/>
    </cs:lnRef>
    <cs:fillRef idx="0"/>
    <cs:effectRef idx="0"/>
    <cs:fontRef idx="minor">
      <a:schemeClr val="dk1"/>
    </cs:fontRef>
    <cs:spPr>
      <a:ln w="9525" cap="flat" cmpd="sng" algn="ctr">
        <a:solidFill>
          <a:schemeClr val="lt1">
            <a:alpha val="25000"/>
          </a:schemeClr>
        </a:solidFill>
        <a:round/>
      </a:ln>
    </cs:spPr>
  </cs:gridlineMajor>
  <cs:gridlineMinor>
    <cs:lnRef idx="0">
      <cs:styleClr val="0"/>
    </cs:lnRef>
    <cs:fillRef idx="0"/>
    <cs:effectRef idx="0"/>
    <cs:fontRef idx="minor">
      <a:schemeClr val="dk1"/>
    </cs:fontRef>
    <cs:spPr>
      <a:ln>
        <a:solidFill>
          <a:schemeClr val="lt1">
            <a:alpha val="10000"/>
          </a:schemeClr>
        </a:solidFill>
      </a:ln>
    </cs:spPr>
  </cs:gridlineMinor>
  <cs:hiLo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  <a:prstDash val="dash"/>
      </a:ln>
    </cs:spPr>
  </cs:hiLoLine>
  <cs:leader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</a:schemeClr>
        </a:solidFill>
      </a:ln>
    </cs:spPr>
  </cs:leaderLine>
  <cs:legend>
    <cs:lnRef idx="0"/>
    <cs:fillRef idx="0"/>
    <cs:effectRef idx="0"/>
    <cs:fontRef idx="minor">
      <a:schemeClr val="lt1"/>
    </cs:fontRef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>
      <cs:styleClr val="0"/>
    </cs:lnRef>
    <cs:fillRef idx="0"/>
    <cs:effectRef idx="0"/>
    <cs:fontRef idx="minor">
      <a:schemeClr val="lt1"/>
    </cs:fontRef>
    <cs:defRPr sz="900" kern="1200"/>
  </cs:seriesAxis>
  <cs:seriesLine>
    <cs:lnRef idx="0">
      <cs:styleClr val="0"/>
    </cs:lnRef>
    <cs:fillRef idx="0"/>
    <cs:effectRef idx="0"/>
    <cs:fontRef idx="minor">
      <a:schemeClr val="dk1"/>
    </cs:fontRef>
    <cs:spPr>
      <a:ln w="9525">
        <a:solidFill>
          <a:schemeClr val="phClr">
            <a:lumMod val="60000"/>
            <a:lumOff val="40000"/>
            <a:tint val="5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lt1"/>
    </cs:fontRef>
    <cs:defRPr sz="1500" b="1" kern="1200" cap="all" spc="100" normalizeH="0" baseline="0"/>
  </cs:title>
  <cs:trendline>
    <cs:lnRef idx="0"/>
    <cs:fillRef idx="0"/>
    <cs:effectRef idx="0"/>
    <cs:fontRef idx="minor">
      <a:schemeClr val="dk1"/>
    </cs:fontRef>
    <cs:spPr>
      <a:ln w="28575" cap="rnd">
        <a:solidFill>
          <a:schemeClr val="lt1">
            <a:alpha val="50000"/>
          </a:schemeClr>
        </a:solidFill>
        <a:round/>
      </a:ln>
    </cs:spPr>
  </cs:trendline>
  <cs:trendlineLabel>
    <cs:lnRef idx="0"/>
    <cs:fillRef idx="0"/>
    <cs:effectRef idx="0"/>
    <cs:fontRef idx="minor">
      <a:schemeClr val="lt1"/>
    </cs:fontRef>
    <cs:defRPr sz="900" kern="1200"/>
  </cs:trendlineLabel>
  <cs:upBar>
    <cs:lnRef idx="0">
      <cs:styleClr val="0"/>
    </cs:lnRef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ln w="9525">
        <a:solidFill>
          <a:schemeClr val="phClr">
            <a:lumMod val="60000"/>
            <a:lumOff val="40000"/>
          </a:schemeClr>
        </a:solidFill>
      </a:ln>
    </cs:spPr>
  </cs:upBar>
  <cs:valueAxis>
    <cs:lnRef idx="0"/>
    <cs:fillRef idx="0"/>
    <cs:effectRef idx="0"/>
    <cs:fontRef idx="minor">
      <a:schemeClr val="lt1"/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9B2FB5D-B112-4079-82D0-05CAA91EC8AF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973F7D8-2538-467C-8B5E-67DD4B40D6D0}">
      <dgm:prSet phldrT="[Text]"/>
      <dgm:spPr/>
      <dgm:t>
        <a:bodyPr/>
        <a:lstStyle/>
        <a:p>
          <a:r>
            <a:rPr lang="ka-GE"/>
            <a:t>8,5%</a:t>
          </a:r>
          <a:endParaRPr lang="en-US"/>
        </a:p>
      </dgm:t>
    </dgm:pt>
    <dgm:pt modelId="{53A4809C-6612-411F-947B-B511AD80ADE8}" type="parTrans" cxnId="{AB868A3C-C7EB-42EB-9E97-B7E2CDA81CBE}">
      <dgm:prSet/>
      <dgm:spPr/>
      <dgm:t>
        <a:bodyPr/>
        <a:lstStyle/>
        <a:p>
          <a:endParaRPr lang="en-US"/>
        </a:p>
      </dgm:t>
    </dgm:pt>
    <dgm:pt modelId="{20D3EB1D-9933-4F64-99CA-D9988B98195D}" type="sibTrans" cxnId="{AB868A3C-C7EB-42EB-9E97-B7E2CDA81CBE}">
      <dgm:prSet/>
      <dgm:spPr/>
      <dgm:t>
        <a:bodyPr/>
        <a:lstStyle/>
        <a:p>
          <a:endParaRPr lang="en-US"/>
        </a:p>
      </dgm:t>
    </dgm:pt>
    <dgm:pt modelId="{BCC23635-157C-476C-A41E-7F5F0048009F}">
      <dgm:prSet phldrT="[Text]"/>
      <dgm:spPr/>
      <dgm:t>
        <a:bodyPr/>
        <a:lstStyle/>
        <a:p>
          <a:r>
            <a:rPr lang="ka-GE"/>
            <a:t>22%</a:t>
          </a:r>
          <a:endParaRPr lang="en-US"/>
        </a:p>
      </dgm:t>
    </dgm:pt>
    <dgm:pt modelId="{F82C20F6-4598-432B-9F6C-42A63852377D}" type="parTrans" cxnId="{9DE0D111-363C-4841-AEAB-3168C14E56D7}">
      <dgm:prSet/>
      <dgm:spPr/>
      <dgm:t>
        <a:bodyPr/>
        <a:lstStyle/>
        <a:p>
          <a:endParaRPr lang="en-US"/>
        </a:p>
      </dgm:t>
    </dgm:pt>
    <dgm:pt modelId="{8C8A6961-6BE3-4753-AF87-82CE9978C35B}" type="sibTrans" cxnId="{9DE0D111-363C-4841-AEAB-3168C14E56D7}">
      <dgm:prSet/>
      <dgm:spPr/>
      <dgm:t>
        <a:bodyPr/>
        <a:lstStyle/>
        <a:p>
          <a:endParaRPr lang="en-US"/>
        </a:p>
      </dgm:t>
    </dgm:pt>
    <dgm:pt modelId="{9D7D36A9-50B7-471E-B119-04CA31D59845}">
      <dgm:prSet phldrT="[Text]"/>
      <dgm:spPr/>
      <dgm:t>
        <a:bodyPr/>
        <a:lstStyle/>
        <a:p>
          <a:r>
            <a:rPr lang="ka-GE"/>
            <a:t>20%</a:t>
          </a:r>
          <a:endParaRPr lang="en-US"/>
        </a:p>
      </dgm:t>
    </dgm:pt>
    <dgm:pt modelId="{034E3F1B-862B-447F-B571-CCEB1F13F75C}" type="parTrans" cxnId="{2B2ED3DB-BEEC-4D9F-B470-AA4589E59795}">
      <dgm:prSet/>
      <dgm:spPr/>
      <dgm:t>
        <a:bodyPr/>
        <a:lstStyle/>
        <a:p>
          <a:endParaRPr lang="en-US"/>
        </a:p>
      </dgm:t>
    </dgm:pt>
    <dgm:pt modelId="{CF8B9962-ECA9-417D-8302-42AEAC00F589}" type="sibTrans" cxnId="{2B2ED3DB-BEEC-4D9F-B470-AA4589E59795}">
      <dgm:prSet/>
      <dgm:spPr/>
      <dgm:t>
        <a:bodyPr/>
        <a:lstStyle/>
        <a:p>
          <a:endParaRPr lang="en-US"/>
        </a:p>
      </dgm:t>
    </dgm:pt>
    <dgm:pt modelId="{B67E1230-9F76-4332-AD1D-CE501EEBB669}">
      <dgm:prSet phldrT="[Text]"/>
      <dgm:spPr/>
      <dgm:t>
        <a:bodyPr/>
        <a:lstStyle/>
        <a:p>
          <a:r>
            <a:rPr lang="ka-GE"/>
            <a:t>9%</a:t>
          </a:r>
          <a:endParaRPr lang="en-US"/>
        </a:p>
      </dgm:t>
    </dgm:pt>
    <dgm:pt modelId="{845660F4-61FD-4659-B74D-15E9DCAEE2DC}" type="parTrans" cxnId="{8678F1A5-CBA2-43C9-B139-65035ACC3550}">
      <dgm:prSet/>
      <dgm:spPr/>
      <dgm:t>
        <a:bodyPr/>
        <a:lstStyle/>
        <a:p>
          <a:endParaRPr lang="en-US"/>
        </a:p>
      </dgm:t>
    </dgm:pt>
    <dgm:pt modelId="{96ABE2C5-F86B-44B2-A4D3-5F1B79A7AD75}" type="sibTrans" cxnId="{8678F1A5-CBA2-43C9-B139-65035ACC3550}">
      <dgm:prSet/>
      <dgm:spPr/>
      <dgm:t>
        <a:bodyPr/>
        <a:lstStyle/>
        <a:p>
          <a:endParaRPr lang="en-US"/>
        </a:p>
      </dgm:t>
    </dgm:pt>
    <dgm:pt modelId="{74203B0E-61E5-425E-AF77-D02819EADE2A}" type="pres">
      <dgm:prSet presAssocID="{09B2FB5D-B112-4079-82D0-05CAA91EC8AF}" presName="Name0" presStyleCnt="0">
        <dgm:presLayoutVars>
          <dgm:dir/>
          <dgm:animLvl val="lvl"/>
          <dgm:resizeHandles val="exact"/>
        </dgm:presLayoutVars>
      </dgm:prSet>
      <dgm:spPr/>
    </dgm:pt>
    <dgm:pt modelId="{6A9FC140-350D-4033-BE68-FE8C576D7696}" type="pres">
      <dgm:prSet presAssocID="{D973F7D8-2538-467C-8B5E-67DD4B40D6D0}" presName="parTxOnly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4F961C41-6AB3-4151-9DAA-DE8AFFB2FB9F}" type="pres">
      <dgm:prSet presAssocID="{20D3EB1D-9933-4F64-99CA-D9988B98195D}" presName="parTxOnlySpace" presStyleCnt="0"/>
      <dgm:spPr/>
    </dgm:pt>
    <dgm:pt modelId="{9D59219E-60C5-46A2-BE57-E10C848ED4ED}" type="pres">
      <dgm:prSet presAssocID="{BCC23635-157C-476C-A41E-7F5F0048009F}" presName="parTxOnly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BBBD060B-9AD5-4B7E-B89D-E706FFAA786C}" type="pres">
      <dgm:prSet presAssocID="{8C8A6961-6BE3-4753-AF87-82CE9978C35B}" presName="parTxOnlySpace" presStyleCnt="0"/>
      <dgm:spPr/>
    </dgm:pt>
    <dgm:pt modelId="{7E8A4DEA-3330-4FBF-8663-D02C90F26FEE}" type="pres">
      <dgm:prSet presAssocID="{9D7D36A9-50B7-471E-B119-04CA31D59845}" presName="parTxOnly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5144F4A6-0FF4-496A-AB46-491850ACB3C1}" type="pres">
      <dgm:prSet presAssocID="{CF8B9962-ECA9-417D-8302-42AEAC00F589}" presName="parTxOnlySpace" presStyleCnt="0"/>
      <dgm:spPr/>
    </dgm:pt>
    <dgm:pt modelId="{7A78E2B6-6A45-470F-A115-A6E872EDF952}" type="pres">
      <dgm:prSet presAssocID="{B67E1230-9F76-4332-AD1D-CE501EEBB669}" presName="parTxOnly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8678F1A5-CBA2-43C9-B139-65035ACC3550}" srcId="{09B2FB5D-B112-4079-82D0-05CAA91EC8AF}" destId="{B67E1230-9F76-4332-AD1D-CE501EEBB669}" srcOrd="3" destOrd="0" parTransId="{845660F4-61FD-4659-B74D-15E9DCAEE2DC}" sibTransId="{96ABE2C5-F86B-44B2-A4D3-5F1B79A7AD75}"/>
    <dgm:cxn modelId="{7744ADD1-C9C7-4073-8824-6E6D16E588CF}" type="presOf" srcId="{D973F7D8-2538-467C-8B5E-67DD4B40D6D0}" destId="{6A9FC140-350D-4033-BE68-FE8C576D7696}" srcOrd="0" destOrd="0" presId="urn:microsoft.com/office/officeart/2005/8/layout/chevron1"/>
    <dgm:cxn modelId="{62E312B1-31D0-43E6-B47C-7EFDB850D200}" type="presOf" srcId="{09B2FB5D-B112-4079-82D0-05CAA91EC8AF}" destId="{74203B0E-61E5-425E-AF77-D02819EADE2A}" srcOrd="0" destOrd="0" presId="urn:microsoft.com/office/officeart/2005/8/layout/chevron1"/>
    <dgm:cxn modelId="{2B2ED3DB-BEEC-4D9F-B470-AA4589E59795}" srcId="{09B2FB5D-B112-4079-82D0-05CAA91EC8AF}" destId="{9D7D36A9-50B7-471E-B119-04CA31D59845}" srcOrd="2" destOrd="0" parTransId="{034E3F1B-862B-447F-B571-CCEB1F13F75C}" sibTransId="{CF8B9962-ECA9-417D-8302-42AEAC00F589}"/>
    <dgm:cxn modelId="{3D361030-35C9-49BC-A9D0-D8DD89F8B832}" type="presOf" srcId="{9D7D36A9-50B7-471E-B119-04CA31D59845}" destId="{7E8A4DEA-3330-4FBF-8663-D02C90F26FEE}" srcOrd="0" destOrd="0" presId="urn:microsoft.com/office/officeart/2005/8/layout/chevron1"/>
    <dgm:cxn modelId="{BE18C6CC-2D61-4A98-B1F1-F0634C396292}" type="presOf" srcId="{B67E1230-9F76-4332-AD1D-CE501EEBB669}" destId="{7A78E2B6-6A45-470F-A115-A6E872EDF952}" srcOrd="0" destOrd="0" presId="urn:microsoft.com/office/officeart/2005/8/layout/chevron1"/>
    <dgm:cxn modelId="{5A213DE0-5AED-4695-9EB8-CFBE9C3A6AAD}" type="presOf" srcId="{BCC23635-157C-476C-A41E-7F5F0048009F}" destId="{9D59219E-60C5-46A2-BE57-E10C848ED4ED}" srcOrd="0" destOrd="0" presId="urn:microsoft.com/office/officeart/2005/8/layout/chevron1"/>
    <dgm:cxn modelId="{AB868A3C-C7EB-42EB-9E97-B7E2CDA81CBE}" srcId="{09B2FB5D-B112-4079-82D0-05CAA91EC8AF}" destId="{D973F7D8-2538-467C-8B5E-67DD4B40D6D0}" srcOrd="0" destOrd="0" parTransId="{53A4809C-6612-411F-947B-B511AD80ADE8}" sibTransId="{20D3EB1D-9933-4F64-99CA-D9988B98195D}"/>
    <dgm:cxn modelId="{9DE0D111-363C-4841-AEAB-3168C14E56D7}" srcId="{09B2FB5D-B112-4079-82D0-05CAA91EC8AF}" destId="{BCC23635-157C-476C-A41E-7F5F0048009F}" srcOrd="1" destOrd="0" parTransId="{F82C20F6-4598-432B-9F6C-42A63852377D}" sibTransId="{8C8A6961-6BE3-4753-AF87-82CE9978C35B}"/>
    <dgm:cxn modelId="{51FBFE69-C13D-4B88-833A-8AE9C29462FD}" type="presParOf" srcId="{74203B0E-61E5-425E-AF77-D02819EADE2A}" destId="{6A9FC140-350D-4033-BE68-FE8C576D7696}" srcOrd="0" destOrd="0" presId="urn:microsoft.com/office/officeart/2005/8/layout/chevron1"/>
    <dgm:cxn modelId="{1D4121F2-5193-46A0-AC03-FE14260C0714}" type="presParOf" srcId="{74203B0E-61E5-425E-AF77-D02819EADE2A}" destId="{4F961C41-6AB3-4151-9DAA-DE8AFFB2FB9F}" srcOrd="1" destOrd="0" presId="urn:microsoft.com/office/officeart/2005/8/layout/chevron1"/>
    <dgm:cxn modelId="{B9BE29A3-C25F-4A57-BEC5-C9171AFAFDD1}" type="presParOf" srcId="{74203B0E-61E5-425E-AF77-D02819EADE2A}" destId="{9D59219E-60C5-46A2-BE57-E10C848ED4ED}" srcOrd="2" destOrd="0" presId="urn:microsoft.com/office/officeart/2005/8/layout/chevron1"/>
    <dgm:cxn modelId="{504F4045-7953-438D-A703-80D92BDC9AC5}" type="presParOf" srcId="{74203B0E-61E5-425E-AF77-D02819EADE2A}" destId="{BBBD060B-9AD5-4B7E-B89D-E706FFAA786C}" srcOrd="3" destOrd="0" presId="urn:microsoft.com/office/officeart/2005/8/layout/chevron1"/>
    <dgm:cxn modelId="{99B0C17A-9161-4A84-8528-7497DCD4567D}" type="presParOf" srcId="{74203B0E-61E5-425E-AF77-D02819EADE2A}" destId="{7E8A4DEA-3330-4FBF-8663-D02C90F26FEE}" srcOrd="4" destOrd="0" presId="urn:microsoft.com/office/officeart/2005/8/layout/chevron1"/>
    <dgm:cxn modelId="{3DC6D11C-1B9A-4207-ADC2-22B6AE7D13FC}" type="presParOf" srcId="{74203B0E-61E5-425E-AF77-D02819EADE2A}" destId="{5144F4A6-0FF4-496A-AB46-491850ACB3C1}" srcOrd="5" destOrd="0" presId="urn:microsoft.com/office/officeart/2005/8/layout/chevron1"/>
    <dgm:cxn modelId="{C0D3B9F9-5066-4DFB-AA1F-663B8F693273}" type="presParOf" srcId="{74203B0E-61E5-425E-AF77-D02819EADE2A}" destId="{7A78E2B6-6A45-470F-A115-A6E872EDF952}" srcOrd="6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A9FC140-350D-4033-BE68-FE8C576D7696}">
      <dsp:nvSpPr>
        <dsp:cNvPr id="0" name=""/>
        <dsp:cNvSpPr/>
      </dsp:nvSpPr>
      <dsp:spPr>
        <a:xfrm>
          <a:off x="3472" y="71941"/>
          <a:ext cx="2021541" cy="80861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020" tIns="52007" rIns="52007" bIns="52007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a-GE" sz="3900" kern="1200"/>
            <a:t>8,5%</a:t>
          </a:r>
          <a:endParaRPr lang="en-US" sz="3900" kern="1200"/>
        </a:p>
      </dsp:txBody>
      <dsp:txXfrm>
        <a:off x="407780" y="71941"/>
        <a:ext cx="1212925" cy="808616"/>
      </dsp:txXfrm>
    </dsp:sp>
    <dsp:sp modelId="{9D59219E-60C5-46A2-BE57-E10C848ED4ED}">
      <dsp:nvSpPr>
        <dsp:cNvPr id="0" name=""/>
        <dsp:cNvSpPr/>
      </dsp:nvSpPr>
      <dsp:spPr>
        <a:xfrm>
          <a:off x="1822860" y="71941"/>
          <a:ext cx="2021541" cy="80861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020" tIns="52007" rIns="52007" bIns="52007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a-GE" sz="3900" kern="1200"/>
            <a:t>22%</a:t>
          </a:r>
          <a:endParaRPr lang="en-US" sz="3900" kern="1200"/>
        </a:p>
      </dsp:txBody>
      <dsp:txXfrm>
        <a:off x="2227168" y="71941"/>
        <a:ext cx="1212925" cy="808616"/>
      </dsp:txXfrm>
    </dsp:sp>
    <dsp:sp modelId="{7E8A4DEA-3330-4FBF-8663-D02C90F26FEE}">
      <dsp:nvSpPr>
        <dsp:cNvPr id="0" name=""/>
        <dsp:cNvSpPr/>
      </dsp:nvSpPr>
      <dsp:spPr>
        <a:xfrm>
          <a:off x="3642247" y="71941"/>
          <a:ext cx="2021541" cy="80861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020" tIns="52007" rIns="52007" bIns="52007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a-GE" sz="3900" kern="1200"/>
            <a:t>20%</a:t>
          </a:r>
          <a:endParaRPr lang="en-US" sz="3900" kern="1200"/>
        </a:p>
      </dsp:txBody>
      <dsp:txXfrm>
        <a:off x="4046555" y="71941"/>
        <a:ext cx="1212925" cy="808616"/>
      </dsp:txXfrm>
    </dsp:sp>
    <dsp:sp modelId="{7A78E2B6-6A45-470F-A115-A6E872EDF952}">
      <dsp:nvSpPr>
        <dsp:cNvPr id="0" name=""/>
        <dsp:cNvSpPr/>
      </dsp:nvSpPr>
      <dsp:spPr>
        <a:xfrm>
          <a:off x="5461635" y="71941"/>
          <a:ext cx="2021541" cy="808616"/>
        </a:xfrm>
        <a:prstGeom prst="chevron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6020" tIns="52007" rIns="52007" bIns="52007" numCol="1" spcCol="1270" anchor="ctr" anchorCtr="0">
          <a:noAutofit/>
        </a:bodyPr>
        <a:lstStyle/>
        <a:p>
          <a:pPr lvl="0" algn="ctr" defTabSz="17335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ka-GE" sz="3900" kern="1200"/>
            <a:t>9%</a:t>
          </a:r>
          <a:endParaRPr lang="en-US" sz="3900" kern="1200"/>
        </a:p>
      </dsp:txBody>
      <dsp:txXfrm>
        <a:off x="5865943" y="71941"/>
        <a:ext cx="1212925" cy="8086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2022-05-17T20:58:00Z</dcterms:created>
  <dcterms:modified xsi:type="dcterms:W3CDTF">2022-05-17T21:06:00Z</dcterms:modified>
</cp:coreProperties>
</file>